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0CC2" w14:textId="494B49FE" w:rsidR="00114866" w:rsidRPr="00114866" w:rsidRDefault="00114866" w:rsidP="00114866">
      <w:pPr>
        <w:spacing w:before="240" w:after="240" w:line="288" w:lineRule="atLeast"/>
        <w:rPr>
          <w:rFonts w:ascii="Georgia" w:eastAsia="Times New Roman" w:hAnsi="Georgia" w:cs="Times New Roman"/>
          <w:b/>
          <w:bCs/>
          <w:color w:val="444444"/>
          <w:sz w:val="21"/>
          <w:szCs w:val="21"/>
        </w:rPr>
      </w:pPr>
      <w:r>
        <w:rPr>
          <w:b/>
          <w:bCs/>
          <w:color w:val="000000" w:themeColor="text1"/>
        </w:rPr>
        <w:t>Lecture 3</w:t>
      </w:r>
      <w:r>
        <w:rPr>
          <w:b/>
          <w:bCs/>
          <w:color w:val="000000" w:themeColor="text1"/>
        </w:rPr>
        <w:tab/>
      </w:r>
      <w:r>
        <w:rPr>
          <w:b/>
          <w:bCs/>
          <w:color w:val="000000" w:themeColor="text1"/>
        </w:rPr>
        <w:tab/>
      </w:r>
      <w:bookmarkStart w:id="0" w:name="_GoBack"/>
      <w:bookmarkEnd w:id="0"/>
      <w:r w:rsidRPr="00114866">
        <w:rPr>
          <w:b/>
          <w:bCs/>
          <w:color w:val="000000" w:themeColor="text1"/>
        </w:rPr>
        <w:t>Gender Equality and sustainable development</w:t>
      </w:r>
      <w:r>
        <w:rPr>
          <w:b/>
          <w:bCs/>
          <w:color w:val="000000" w:themeColor="text1"/>
        </w:rPr>
        <w:t xml:space="preserve">  </w:t>
      </w:r>
    </w:p>
    <w:p w14:paraId="5E625B30" w14:textId="4C99AAFB"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Gender equality is an </w:t>
      </w:r>
      <w:hyperlink r:id="rId4" w:tgtFrame="_blank" w:tooltip="UN" w:history="1">
        <w:r w:rsidRPr="00114866">
          <w:rPr>
            <w:rFonts w:ascii="Georgia" w:eastAsia="Times New Roman" w:hAnsi="Georgia" w:cs="Times New Roman"/>
            <w:color w:val="8E2C48"/>
            <w:sz w:val="21"/>
            <w:szCs w:val="21"/>
            <w:u w:val="single"/>
          </w:rPr>
          <w:t>essential element</w:t>
        </w:r>
      </w:hyperlink>
      <w:r w:rsidRPr="00114866">
        <w:rPr>
          <w:rFonts w:ascii="Georgia" w:eastAsia="Times New Roman" w:hAnsi="Georgia" w:cs="Times New Roman"/>
          <w:color w:val="444444"/>
          <w:sz w:val="21"/>
          <w:szCs w:val="21"/>
        </w:rPr>
        <w:t> of sustainable and inclusive development. Here are just four of the reasons why:</w:t>
      </w:r>
    </w:p>
    <w:p w14:paraId="7E513B8B" w14:textId="77777777" w:rsidR="00114866" w:rsidRPr="00114866" w:rsidRDefault="00114866" w:rsidP="00114866">
      <w:pPr>
        <w:spacing w:before="360" w:after="360" w:line="264" w:lineRule="atLeast"/>
        <w:outlineLvl w:val="3"/>
        <w:rPr>
          <w:rFonts w:ascii="oswaldbook" w:eastAsia="Times New Roman" w:hAnsi="oswaldbook" w:cs="Times New Roman"/>
          <w:color w:val="8E2C48"/>
          <w:spacing w:val="5"/>
          <w:sz w:val="26"/>
          <w:szCs w:val="26"/>
        </w:rPr>
      </w:pPr>
      <w:r w:rsidRPr="00114866">
        <w:rPr>
          <w:rFonts w:ascii="oswaldbook" w:eastAsia="Times New Roman" w:hAnsi="oswaldbook" w:cs="Times New Roman"/>
          <w:color w:val="8E2C48"/>
          <w:spacing w:val="5"/>
          <w:sz w:val="26"/>
          <w:szCs w:val="26"/>
        </w:rPr>
        <w:t>1. Women are part of the solution </w:t>
      </w:r>
    </w:p>
    <w:p w14:paraId="0D662E0C"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 xml:space="preserve">Where women are already playing a crucial role in developing sustainable development solutions, their contributions are often not </w:t>
      </w:r>
      <w:proofErr w:type="spellStart"/>
      <w:r w:rsidRPr="00114866">
        <w:rPr>
          <w:rFonts w:ascii="Georgia" w:eastAsia="Times New Roman" w:hAnsi="Georgia" w:cs="Times New Roman"/>
          <w:color w:val="444444"/>
          <w:sz w:val="21"/>
          <w:szCs w:val="21"/>
        </w:rPr>
        <w:t>recognised</w:t>
      </w:r>
      <w:proofErr w:type="spellEnd"/>
      <w:r w:rsidRPr="00114866">
        <w:rPr>
          <w:rFonts w:ascii="Georgia" w:eastAsia="Times New Roman" w:hAnsi="Georgia" w:cs="Times New Roman"/>
          <w:color w:val="444444"/>
          <w:sz w:val="21"/>
          <w:szCs w:val="21"/>
        </w:rPr>
        <w:t>. For example, according to the United Nations Food and Agriculture Organization (FAO) women comprise around 43 per cent of the agricultural labour force in developing countries. The percentage is as high as, or even higher than, 80 per cent in some countries in sub- Saharan Africa. This makes women the </w:t>
      </w:r>
      <w:r w:rsidRPr="00114866">
        <w:rPr>
          <w:rFonts w:ascii="Georgia" w:eastAsia="Times New Roman" w:hAnsi="Georgia" w:cs="Times New Roman"/>
          <w:i/>
          <w:iCs/>
          <w:color w:val="444444"/>
          <w:sz w:val="21"/>
          <w:szCs w:val="21"/>
        </w:rPr>
        <w:t>principle</w:t>
      </w:r>
      <w:r w:rsidRPr="00114866">
        <w:rPr>
          <w:rFonts w:ascii="Georgia" w:eastAsia="Times New Roman" w:hAnsi="Georgia" w:cs="Times New Roman"/>
          <w:color w:val="444444"/>
          <w:sz w:val="21"/>
          <w:szCs w:val="21"/>
        </w:rPr>
        <w:t> agents of food security and household welfare in rural areas. Yet this highly significant contribution is too often </w:t>
      </w:r>
      <w:hyperlink r:id="rId5" w:tgtFrame="_blank" w:tooltip="Gender and Food Security Pack" w:history="1">
        <w:r w:rsidRPr="00114866">
          <w:rPr>
            <w:rFonts w:ascii="Georgia" w:eastAsia="Times New Roman" w:hAnsi="Georgia" w:cs="Times New Roman"/>
            <w:color w:val="8E2C48"/>
            <w:sz w:val="21"/>
            <w:szCs w:val="21"/>
            <w:u w:val="single"/>
          </w:rPr>
          <w:t>under-estimated or invisible</w:t>
        </w:r>
      </w:hyperlink>
      <w:r w:rsidRPr="00114866">
        <w:rPr>
          <w:rFonts w:ascii="Georgia" w:eastAsia="Times New Roman" w:hAnsi="Georgia" w:cs="Times New Roman"/>
          <w:color w:val="444444"/>
          <w:sz w:val="21"/>
          <w:szCs w:val="21"/>
        </w:rPr>
        <w:t xml:space="preserve">. Women and girls may be vulnerable in many ways due to inequitable social and cultural factors, but they should also be seen as rights-holding citizens, </w:t>
      </w:r>
      <w:proofErr w:type="spellStart"/>
      <w:r w:rsidRPr="00114866">
        <w:rPr>
          <w:rFonts w:ascii="Georgia" w:eastAsia="Times New Roman" w:hAnsi="Georgia" w:cs="Times New Roman"/>
          <w:color w:val="444444"/>
          <w:sz w:val="21"/>
          <w:szCs w:val="21"/>
        </w:rPr>
        <w:t>recognised</w:t>
      </w:r>
      <w:proofErr w:type="spellEnd"/>
      <w:r w:rsidRPr="00114866">
        <w:rPr>
          <w:rFonts w:ascii="Georgia" w:eastAsia="Times New Roman" w:hAnsi="Georgia" w:cs="Times New Roman"/>
          <w:color w:val="444444"/>
          <w:sz w:val="21"/>
          <w:szCs w:val="21"/>
        </w:rPr>
        <w:t xml:space="preserve"> for the agency, skills and experience they can contribute. </w:t>
      </w:r>
    </w:p>
    <w:p w14:paraId="2401413A"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There is often a significant gender disparity in decision-making at all levels: from local communities to international governance. For example, women make up just </w:t>
      </w:r>
      <w:hyperlink r:id="rId6" w:tgtFrame="_blank" w:tooltip="Inter-Parliamentary Union" w:history="1">
        <w:r w:rsidRPr="00114866">
          <w:rPr>
            <w:rFonts w:ascii="Georgia" w:eastAsia="Times New Roman" w:hAnsi="Georgia" w:cs="Times New Roman"/>
            <w:color w:val="8E2C48"/>
            <w:sz w:val="21"/>
            <w:szCs w:val="21"/>
            <w:u w:val="single"/>
          </w:rPr>
          <w:t>23 per cent</w:t>
        </w:r>
      </w:hyperlink>
      <w:r w:rsidRPr="00114866">
        <w:rPr>
          <w:rFonts w:ascii="Georgia" w:eastAsia="Times New Roman" w:hAnsi="Georgia" w:cs="Times New Roman"/>
          <w:color w:val="444444"/>
          <w:sz w:val="21"/>
          <w:szCs w:val="21"/>
        </w:rPr>
        <w:t> of the world’s MPs. Not only does this gender imbalance result in unrepresentative policies, but it denies women the right to participate and have a political voice. </w:t>
      </w:r>
    </w:p>
    <w:p w14:paraId="5F3010C1"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As highlighted by one of the official documents associated with CSW, ‘</w:t>
      </w:r>
      <w:hyperlink r:id="rId7" w:tgtFrame="_blank" w:tooltip="Inter-Parliamentary Union" w:history="1">
        <w:r w:rsidRPr="00114866">
          <w:rPr>
            <w:rFonts w:ascii="Georgia" w:eastAsia="Times New Roman" w:hAnsi="Georgia" w:cs="Times New Roman"/>
            <w:color w:val="8E2C48"/>
            <w:sz w:val="21"/>
            <w:szCs w:val="21"/>
            <w:u w:val="single"/>
          </w:rPr>
          <w:t>Women’s empowerment and the links to sustainable development</w:t>
        </w:r>
      </w:hyperlink>
      <w:r w:rsidRPr="00114866">
        <w:rPr>
          <w:rFonts w:ascii="Georgia" w:eastAsia="Times New Roman" w:hAnsi="Georgia" w:cs="Times New Roman"/>
          <w:color w:val="444444"/>
          <w:sz w:val="21"/>
          <w:szCs w:val="21"/>
        </w:rPr>
        <w:t>’: ‘Women’s knowledge, agency and collective action are key to exploring and creating more economically, socially and environmentally sustainable development pathways.’</w:t>
      </w:r>
    </w:p>
    <w:p w14:paraId="51FFAF47"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 xml:space="preserve">More deliberately transformative approaches that go beyond increasing women’s productivity have the potential to challenge existing gender power imbalances and, by doing so, can contribute to the </w:t>
      </w:r>
      <w:proofErr w:type="spellStart"/>
      <w:r w:rsidRPr="00114866">
        <w:rPr>
          <w:rFonts w:ascii="Georgia" w:eastAsia="Times New Roman" w:hAnsi="Georgia" w:cs="Times New Roman"/>
          <w:color w:val="444444"/>
          <w:sz w:val="21"/>
          <w:szCs w:val="21"/>
        </w:rPr>
        <w:t>realisation</w:t>
      </w:r>
      <w:proofErr w:type="spellEnd"/>
      <w:r w:rsidRPr="00114866">
        <w:rPr>
          <w:rFonts w:ascii="Georgia" w:eastAsia="Times New Roman" w:hAnsi="Georgia" w:cs="Times New Roman"/>
          <w:color w:val="444444"/>
          <w:sz w:val="21"/>
          <w:szCs w:val="21"/>
        </w:rPr>
        <w:t xml:space="preserve"> of greater gender equality.</w:t>
      </w:r>
    </w:p>
    <w:p w14:paraId="58F41799" w14:textId="77777777" w:rsidR="00114866" w:rsidRPr="00114866" w:rsidRDefault="00114866" w:rsidP="00114866">
      <w:pPr>
        <w:spacing w:before="360" w:after="360" w:line="264" w:lineRule="atLeast"/>
        <w:outlineLvl w:val="3"/>
        <w:rPr>
          <w:rFonts w:ascii="oswaldbook" w:eastAsia="Times New Roman" w:hAnsi="oswaldbook" w:cs="Times New Roman"/>
          <w:color w:val="8E2C48"/>
          <w:spacing w:val="5"/>
          <w:sz w:val="26"/>
          <w:szCs w:val="26"/>
        </w:rPr>
      </w:pPr>
      <w:r w:rsidRPr="00114866">
        <w:rPr>
          <w:rFonts w:ascii="oswaldbook" w:eastAsia="Times New Roman" w:hAnsi="oswaldbook" w:cs="Times New Roman"/>
          <w:color w:val="8E2C48"/>
          <w:spacing w:val="5"/>
          <w:sz w:val="26"/>
          <w:szCs w:val="26"/>
        </w:rPr>
        <w:t>2. Resource shortages are gendered</w:t>
      </w:r>
    </w:p>
    <w:p w14:paraId="273A3C7F"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The worsening shortage of, and lack of access to, resources such as water, energy and </w:t>
      </w:r>
      <w:hyperlink r:id="rId8" w:tgtFrame="_blank" w:tooltip="Gender and Food Security" w:history="1">
        <w:r w:rsidRPr="00114866">
          <w:rPr>
            <w:rFonts w:ascii="Georgia" w:eastAsia="Times New Roman" w:hAnsi="Georgia" w:cs="Times New Roman"/>
            <w:color w:val="8E2C48"/>
            <w:sz w:val="21"/>
            <w:szCs w:val="21"/>
            <w:u w:val="single"/>
          </w:rPr>
          <w:t>food</w:t>
        </w:r>
      </w:hyperlink>
      <w:r w:rsidRPr="00114866">
        <w:rPr>
          <w:rFonts w:ascii="Georgia" w:eastAsia="Times New Roman" w:hAnsi="Georgia" w:cs="Times New Roman"/>
          <w:color w:val="444444"/>
          <w:sz w:val="21"/>
          <w:szCs w:val="21"/>
        </w:rPr>
        <w:t> sources. This could have huge implications for gender equality. </w:t>
      </w:r>
    </w:p>
    <w:p w14:paraId="002FADE8"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The rising threat of food insecurity, with both the production and consumption of food being highly gendered, is a large part of this. In many cases women are increasingly carrying the burden of the additional work resulting from a more unpredictable climate and worsening crop failures. Women’s lack of access to resources, such as land and finance, make them more vulnerable to food shortages and to fluctuations in prices. </w:t>
      </w:r>
      <w:hyperlink r:id="rId9" w:tgtFrame="_blank" w:tooltip="Gender and Food Security" w:history="1">
        <w:r w:rsidRPr="00114866">
          <w:rPr>
            <w:rFonts w:ascii="Georgia" w:eastAsia="Times New Roman" w:hAnsi="Georgia" w:cs="Times New Roman"/>
            <w:color w:val="8E2C48"/>
            <w:sz w:val="21"/>
            <w:szCs w:val="21"/>
            <w:u w:val="single"/>
          </w:rPr>
          <w:t>Evidence shows</w:t>
        </w:r>
      </w:hyperlink>
      <w:r w:rsidRPr="00114866">
        <w:rPr>
          <w:rFonts w:ascii="Georgia" w:eastAsia="Times New Roman" w:hAnsi="Georgia" w:cs="Times New Roman"/>
          <w:color w:val="444444"/>
          <w:sz w:val="21"/>
          <w:szCs w:val="21"/>
        </w:rPr>
        <w:t> that women are forced to spend more time and energy searching for affordable, nutritious food. They may also be reducing their own food intake to ensure their family members don’t go hungry. </w:t>
      </w:r>
    </w:p>
    <w:p w14:paraId="402F419F"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lastRenderedPageBreak/>
        <w:t>There are also clear gender dimensions of energy poverty, with the gendered division of household tasks and reproductive activities meaning that women are often the primary users of household energy. </w:t>
      </w:r>
    </w:p>
    <w:p w14:paraId="6FF54E45"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 xml:space="preserve">Water security is another gendered issue; many poor women </w:t>
      </w:r>
      <w:proofErr w:type="gramStart"/>
      <w:r w:rsidRPr="00114866">
        <w:rPr>
          <w:rFonts w:ascii="Georgia" w:eastAsia="Times New Roman" w:hAnsi="Georgia" w:cs="Times New Roman"/>
          <w:color w:val="444444"/>
          <w:sz w:val="21"/>
          <w:szCs w:val="21"/>
        </w:rPr>
        <w:t>access</w:t>
      </w:r>
      <w:proofErr w:type="gramEnd"/>
      <w:r w:rsidRPr="00114866">
        <w:rPr>
          <w:rFonts w:ascii="Georgia" w:eastAsia="Times New Roman" w:hAnsi="Georgia" w:cs="Times New Roman"/>
          <w:color w:val="444444"/>
          <w:sz w:val="21"/>
          <w:szCs w:val="21"/>
        </w:rPr>
        <w:t xml:space="preserve"> water from ‘common property’ such as rivers, but the freedom to use these sources is being restricted as water becomes scarce. Water has turned into a marketable commodity, with supply increasingly being contracted out to private providers. As a </w:t>
      </w:r>
      <w:proofErr w:type="gramStart"/>
      <w:r w:rsidRPr="00114866">
        <w:rPr>
          <w:rFonts w:ascii="Georgia" w:eastAsia="Times New Roman" w:hAnsi="Georgia" w:cs="Times New Roman"/>
          <w:color w:val="444444"/>
          <w:sz w:val="21"/>
          <w:szCs w:val="21"/>
        </w:rPr>
        <w:t>result</w:t>
      </w:r>
      <w:proofErr w:type="gramEnd"/>
      <w:r w:rsidRPr="00114866">
        <w:rPr>
          <w:rFonts w:ascii="Georgia" w:eastAsia="Times New Roman" w:hAnsi="Georgia" w:cs="Times New Roman"/>
          <w:color w:val="444444"/>
          <w:sz w:val="21"/>
          <w:szCs w:val="21"/>
        </w:rPr>
        <w:t xml:space="preserve"> women may be forced to walk longer distances for a supply that is free to access.</w:t>
      </w:r>
    </w:p>
    <w:p w14:paraId="30C8AFAB" w14:textId="77777777" w:rsidR="00114866" w:rsidRPr="00114866" w:rsidRDefault="00114866" w:rsidP="00114866">
      <w:pPr>
        <w:spacing w:before="360" w:after="360" w:line="264" w:lineRule="atLeast"/>
        <w:outlineLvl w:val="3"/>
        <w:rPr>
          <w:rFonts w:ascii="oswaldbook" w:eastAsia="Times New Roman" w:hAnsi="oswaldbook" w:cs="Times New Roman"/>
          <w:color w:val="8E2C48"/>
          <w:spacing w:val="5"/>
          <w:sz w:val="26"/>
          <w:szCs w:val="26"/>
        </w:rPr>
      </w:pPr>
      <w:r w:rsidRPr="00114866">
        <w:rPr>
          <w:rFonts w:ascii="oswaldbook" w:eastAsia="Times New Roman" w:hAnsi="oswaldbook" w:cs="Times New Roman"/>
          <w:color w:val="8E2C48"/>
          <w:spacing w:val="5"/>
          <w:sz w:val="26"/>
          <w:szCs w:val="26"/>
        </w:rPr>
        <w:t>3. Climate change is hitting women and girls harder</w:t>
      </w:r>
    </w:p>
    <w:p w14:paraId="1E07FDAD"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The environment and climate are often most associated with sustainability. Women and men do not experience the impacts of </w:t>
      </w:r>
      <w:hyperlink r:id="rId10" w:tgtFrame="_blank" w:tooltip="Gender and Climate Change" w:history="1">
        <w:r w:rsidRPr="00114866">
          <w:rPr>
            <w:rFonts w:ascii="Georgia" w:eastAsia="Times New Roman" w:hAnsi="Georgia" w:cs="Times New Roman"/>
            <w:color w:val="8E2C48"/>
            <w:sz w:val="21"/>
            <w:szCs w:val="21"/>
            <w:u w:val="single"/>
          </w:rPr>
          <w:t>climate change</w:t>
        </w:r>
      </w:hyperlink>
      <w:r w:rsidRPr="00114866">
        <w:rPr>
          <w:rFonts w:ascii="Georgia" w:eastAsia="Times New Roman" w:hAnsi="Georgia" w:cs="Times New Roman"/>
          <w:color w:val="444444"/>
          <w:sz w:val="21"/>
          <w:szCs w:val="21"/>
        </w:rPr>
        <w:t> and environmental degradation equally. For example, economic constraints and cultural norms can restrict women’s access to paid employment mean that their livelihoods are particularly dependent on climate-sensitive sectors, such as subsistence agriculture or water collection. </w:t>
      </w:r>
    </w:p>
    <w:p w14:paraId="339BA56C"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 xml:space="preserve">In many ways climate change acts as a magnifying glass which exposes and risks exacerbating pre-existing gender inequalities in women’s access to and control of resources and decision-making power, making women in poverty, or other </w:t>
      </w:r>
      <w:proofErr w:type="spellStart"/>
      <w:r w:rsidRPr="00114866">
        <w:rPr>
          <w:rFonts w:ascii="Georgia" w:eastAsia="Times New Roman" w:hAnsi="Georgia" w:cs="Times New Roman"/>
          <w:color w:val="444444"/>
          <w:sz w:val="21"/>
          <w:szCs w:val="21"/>
        </w:rPr>
        <w:t>marginalised</w:t>
      </w:r>
      <w:proofErr w:type="spellEnd"/>
      <w:r w:rsidRPr="00114866">
        <w:rPr>
          <w:rFonts w:ascii="Georgia" w:eastAsia="Times New Roman" w:hAnsi="Georgia" w:cs="Times New Roman"/>
          <w:color w:val="444444"/>
          <w:sz w:val="21"/>
          <w:szCs w:val="21"/>
        </w:rPr>
        <w:t xml:space="preserve"> groups, more vulnerable to its effects and preventing them from participating equally in its solutions. </w:t>
      </w:r>
    </w:p>
    <w:p w14:paraId="7525F653" w14:textId="77777777" w:rsidR="00114866" w:rsidRPr="00114866" w:rsidRDefault="00114866" w:rsidP="00114866">
      <w:pPr>
        <w:spacing w:before="360" w:after="360" w:line="264" w:lineRule="atLeast"/>
        <w:outlineLvl w:val="3"/>
        <w:rPr>
          <w:rFonts w:ascii="oswaldbook" w:eastAsia="Times New Roman" w:hAnsi="oswaldbook" w:cs="Times New Roman"/>
          <w:color w:val="8E2C48"/>
          <w:spacing w:val="5"/>
          <w:sz w:val="26"/>
          <w:szCs w:val="26"/>
        </w:rPr>
      </w:pPr>
      <w:r w:rsidRPr="00114866">
        <w:rPr>
          <w:rFonts w:ascii="oswaldbook" w:eastAsia="Times New Roman" w:hAnsi="oswaldbook" w:cs="Times New Roman"/>
          <w:color w:val="8E2C48"/>
          <w:spacing w:val="5"/>
          <w:sz w:val="26"/>
          <w:szCs w:val="26"/>
        </w:rPr>
        <w:t>4. It’s not just about women</w:t>
      </w:r>
    </w:p>
    <w:p w14:paraId="4C67C30A"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‘Gender’ has become a ‘catch all’ term in many contexts, used to describe a range of issues in an apolitical way. It is often understood as being only about women’s needs, rather than about the unequal social relationships between women and men that are invested with power. This results in less effective policies, institutions and processes and means that the potential of these to contribute to social change is missed. </w:t>
      </w:r>
    </w:p>
    <w:p w14:paraId="43B23E42" w14:textId="77777777" w:rsidR="00114866" w:rsidRPr="00114866" w:rsidRDefault="00114866" w:rsidP="00114866">
      <w:pPr>
        <w:spacing w:before="240" w:after="240" w:line="288" w:lineRule="atLeast"/>
        <w:rPr>
          <w:rFonts w:ascii="Georgia" w:eastAsia="Times New Roman" w:hAnsi="Georgia" w:cs="Times New Roman"/>
          <w:color w:val="444444"/>
          <w:sz w:val="21"/>
          <w:szCs w:val="21"/>
        </w:rPr>
      </w:pPr>
      <w:r w:rsidRPr="00114866">
        <w:rPr>
          <w:rFonts w:ascii="Georgia" w:eastAsia="Times New Roman" w:hAnsi="Georgia" w:cs="Times New Roman"/>
          <w:color w:val="444444"/>
          <w:sz w:val="21"/>
          <w:szCs w:val="21"/>
        </w:rPr>
        <w:t>Working for sustainability presents an</w:t>
      </w:r>
      <w:r w:rsidRPr="00114866">
        <w:rPr>
          <w:rFonts w:ascii="Georgia" w:eastAsia="Times New Roman" w:hAnsi="Georgia" w:cs="Times New Roman"/>
          <w:i/>
          <w:iCs/>
          <w:color w:val="444444"/>
          <w:sz w:val="21"/>
          <w:szCs w:val="21"/>
        </w:rPr>
        <w:t> opportunity</w:t>
      </w:r>
      <w:r w:rsidRPr="00114866">
        <w:rPr>
          <w:rFonts w:ascii="Georgia" w:eastAsia="Times New Roman" w:hAnsi="Georgia" w:cs="Times New Roman"/>
          <w:color w:val="444444"/>
          <w:sz w:val="21"/>
          <w:szCs w:val="21"/>
        </w:rPr>
        <w:t> to not only acknowledge global inequalities and the unequal power relations between men and women but to</w:t>
      </w:r>
      <w:r w:rsidRPr="00114866">
        <w:rPr>
          <w:rFonts w:ascii="Georgia" w:eastAsia="Times New Roman" w:hAnsi="Georgia" w:cs="Times New Roman"/>
          <w:i/>
          <w:iCs/>
          <w:color w:val="444444"/>
          <w:sz w:val="21"/>
          <w:szCs w:val="21"/>
        </w:rPr>
        <w:t> challenge</w:t>
      </w:r>
      <w:r w:rsidRPr="00114866">
        <w:rPr>
          <w:rFonts w:ascii="Georgia" w:eastAsia="Times New Roman" w:hAnsi="Georgia" w:cs="Times New Roman"/>
          <w:color w:val="444444"/>
          <w:sz w:val="21"/>
          <w:szCs w:val="21"/>
        </w:rPr>
        <w:t> these inequalities and, by doing so, contribute to social and gender transformation. </w:t>
      </w:r>
    </w:p>
    <w:p w14:paraId="34D05096" w14:textId="77777777" w:rsidR="00114866" w:rsidRDefault="00114866"/>
    <w:sectPr w:rsidR="00114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swaldbook">
    <w:altName w:val="Arial Narro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866"/>
    <w:rsid w:val="0011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0F636"/>
  <w15:chartTrackingRefBased/>
  <w15:docId w15:val="{95FD9CE3-9F7F-4FCB-BCBF-D06E545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11486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1486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148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14866"/>
    <w:rPr>
      <w:color w:val="0000FF"/>
      <w:u w:val="single"/>
    </w:rPr>
  </w:style>
  <w:style w:type="character" w:styleId="Emphasis">
    <w:name w:val="Emphasis"/>
    <w:basedOn w:val="DefaultParagraphFont"/>
    <w:uiPriority w:val="20"/>
    <w:qFormat/>
    <w:rsid w:val="001148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97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ridge.ids.ac.uk/topics/food-security" TargetMode="External"/><Relationship Id="rId3" Type="http://schemas.openxmlformats.org/officeDocument/2006/relationships/webSettings" Target="webSettings.xml"/><Relationship Id="rId7" Type="http://schemas.openxmlformats.org/officeDocument/2006/relationships/hyperlink" Target="http://www.ipu.org/wmn-e/world.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pu.org/wmn-e/world.htm" TargetMode="External"/><Relationship Id="rId11" Type="http://schemas.openxmlformats.org/officeDocument/2006/relationships/fontTable" Target="fontTable.xml"/><Relationship Id="rId5" Type="http://schemas.openxmlformats.org/officeDocument/2006/relationships/hyperlink" Target="http://bridge.ids.ac.uk/bridge-publications/cutting-edge-packs/gender-and-food-security" TargetMode="External"/><Relationship Id="rId10" Type="http://schemas.openxmlformats.org/officeDocument/2006/relationships/hyperlink" Target="http://bridge.ids.ac.uk/topics/climate-change" TargetMode="External"/><Relationship Id="rId4" Type="http://schemas.openxmlformats.org/officeDocument/2006/relationships/hyperlink" Target="http://undocs.org/E/CN.6/2016/3" TargetMode="External"/><Relationship Id="rId9" Type="http://schemas.openxmlformats.org/officeDocument/2006/relationships/hyperlink" Target="http://bridge.ids.ac.uk/bridge-publications/cutting-edge-packs/gender-and-food-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Ansar Abbas</dc:creator>
  <cp:keywords/>
  <dc:description/>
  <cp:lastModifiedBy>Ansar Abbas</cp:lastModifiedBy>
  <cp:revision>1</cp:revision>
  <dcterms:created xsi:type="dcterms:W3CDTF">2020-03-25T17:49:00Z</dcterms:created>
  <dcterms:modified xsi:type="dcterms:W3CDTF">2020-03-25T17:53:00Z</dcterms:modified>
</cp:coreProperties>
</file>